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CE5F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-2: Ich-Botschaften &amp; aktives Zuhören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D25512" w:rsidRDefault="00DD021F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DD021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zeigt dir, wie du respektvoll und klar kommunizieren kannst. Mit Ich-Botschaften vermeidest du Schuldzuweisungen und öffnest den Raum für echtes Verstehen. Beim aktiven Zuhören lernst du, Signale deines Gegenübers wahrzunehmen und richtig zu deuten.</w:t>
      </w:r>
    </w:p>
    <w:p w:rsidR="00B617FF" w:rsidRDefault="00B617FF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B617FF" w:rsidRPr="00B617FF" w:rsidTr="00AF0E58">
        <w:trPr>
          <w:trHeight w:val="567"/>
        </w:trPr>
        <w:tc>
          <w:tcPr>
            <w:tcW w:w="9067" w:type="dxa"/>
            <w:gridSpan w:val="3"/>
            <w:vAlign w:val="center"/>
          </w:tcPr>
          <w:p w:rsidR="00B617FF" w:rsidRPr="00E10195" w:rsidRDefault="00B617FF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Ich- vs. Du-Botschaften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DD021F" w:rsidP="00B617F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Typ</w:t>
            </w:r>
            <w:r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2880" w:type="dxa"/>
          </w:tcPr>
          <w:p w:rsidR="00B617FF" w:rsidRPr="00B617FF" w:rsidRDefault="00DD021F" w:rsidP="00B617F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Beispiel</w:t>
            </w:r>
          </w:p>
        </w:tc>
        <w:tc>
          <w:tcPr>
            <w:tcW w:w="3307" w:type="dxa"/>
          </w:tcPr>
          <w:p w:rsidR="00B617FF" w:rsidRPr="00B617FF" w:rsidRDefault="00DD021F" w:rsidP="00B617F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Wirkung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DD021F" w:rsidP="00B617F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Du-Botschaft</w:t>
            </w:r>
          </w:p>
        </w:tc>
        <w:tc>
          <w:tcPr>
            <w:tcW w:w="2880" w:type="dxa"/>
          </w:tcPr>
          <w:p w:rsidR="00B617FF" w:rsidRPr="00B617FF" w:rsidRDefault="00DD021F" w:rsidP="00B617F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„Du hörst nie zu!“</w:t>
            </w:r>
          </w:p>
        </w:tc>
        <w:tc>
          <w:tcPr>
            <w:tcW w:w="3307" w:type="dxa"/>
          </w:tcPr>
          <w:p w:rsidR="00B617FF" w:rsidRPr="00B617FF" w:rsidRDefault="00DD021F" w:rsidP="00B617F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„Du hörst nie zu!“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DD021F" w:rsidP="00B617F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„Du hörst nie zu!“</w:t>
            </w:r>
          </w:p>
        </w:tc>
        <w:tc>
          <w:tcPr>
            <w:tcW w:w="2880" w:type="dxa"/>
          </w:tcPr>
          <w:p w:rsidR="00B617FF" w:rsidRPr="00B617FF" w:rsidRDefault="00DD021F" w:rsidP="00B617F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„Du hörst nie zu!“</w:t>
            </w:r>
          </w:p>
        </w:tc>
        <w:tc>
          <w:tcPr>
            <w:tcW w:w="3307" w:type="dxa"/>
          </w:tcPr>
          <w:p w:rsidR="00B617FF" w:rsidRPr="00B617FF" w:rsidRDefault="00DD021F" w:rsidP="00B617F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„Du hörst nie zu!“</w:t>
            </w:r>
          </w:p>
        </w:tc>
      </w:tr>
    </w:tbl>
    <w:p w:rsidR="00B617FF" w:rsidRDefault="00B617FF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25512" w:rsidTr="00D25512">
        <w:trPr>
          <w:trHeight w:val="567"/>
        </w:trPr>
        <w:tc>
          <w:tcPr>
            <w:tcW w:w="9067" w:type="dxa"/>
            <w:vAlign w:val="center"/>
          </w:tcPr>
          <w:p w:rsidR="00D25512" w:rsidRPr="00E10195" w:rsidRDefault="00D25512" w:rsidP="00D25512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Aufbauformel für Ich-Botschaften</w:t>
            </w:r>
          </w:p>
        </w:tc>
      </w:tr>
      <w:tr w:rsidR="00B617FF" w:rsidTr="00D25512">
        <w:trPr>
          <w:trHeight w:val="567"/>
        </w:trPr>
        <w:tc>
          <w:tcPr>
            <w:tcW w:w="9067" w:type="dxa"/>
            <w:vAlign w:val="center"/>
          </w:tcPr>
          <w:p w:rsidR="00DD021F" w:rsidRDefault="00DD021F" w:rsidP="00DD021F">
            <w:pPr>
              <w:spacing w:before="60"/>
              <w:ind w:left="708"/>
              <w:rPr>
                <w:rFonts w:ascii="Arial" w:eastAsia="Times New Roman" w:hAnsi="Arial" w:cs="Arial"/>
                <w:b/>
                <w:bCs/>
                <w:color w:val="7F7F7F" w:themeColor="text1" w:themeTint="8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D021F">
              <w:rPr>
                <w:rFonts w:ascii="Apple Color Emoji" w:eastAsia="Times New Roman" w:hAnsi="Apple Color Emoji" w:cs="Apple Color Emoji"/>
                <w:b/>
                <w:bCs/>
                <w:color w:val="7F7F7F" w:themeColor="text1" w:themeTint="80"/>
                <w:kern w:val="0"/>
                <w:sz w:val="18"/>
                <w:szCs w:val="18"/>
                <w:lang w:eastAsia="de-DE"/>
                <w14:ligatures w14:val="none"/>
              </w:rPr>
              <w:t>🧩</w:t>
            </w:r>
            <w:r w:rsidRPr="00DD021F">
              <w:rPr>
                <w:rFonts w:ascii="Arial" w:eastAsia="Times New Roman" w:hAnsi="Arial" w:cs="Arial"/>
                <w:b/>
                <w:bCs/>
                <w:color w:val="7F7F7F" w:themeColor="text1" w:themeTint="80"/>
                <w:kern w:val="0"/>
                <w:sz w:val="18"/>
                <w:szCs w:val="18"/>
                <w:lang w:eastAsia="de-DE"/>
                <w14:ligatures w14:val="none"/>
              </w:rPr>
              <w:t xml:space="preserve"> Formel:</w:t>
            </w:r>
          </w:p>
          <w:p w:rsid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</w:p>
          <w:p w:rsid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„Wenn … (Situation) – fühle ich … (Gefühl) – weil … (Grund) – und ich wünsche mir … (Lösung).“</w:t>
            </w:r>
          </w:p>
          <w:p w:rsid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</w:p>
          <w:p w:rsidR="00DD021F" w:rsidRPr="00514520" w:rsidRDefault="00DD021F" w:rsidP="00DD021F">
            <w:pPr>
              <w:spacing w:before="280" w:after="80"/>
              <w:ind w:firstLine="708"/>
              <w:outlineLvl w:val="2"/>
              <w:rPr>
                <w:rFonts w:ascii="Arial" w:eastAsia="Times New Roman" w:hAnsi="Arial" w:cs="Arial"/>
                <w:b/>
                <w:bCs/>
                <w:color w:val="7F7F7F" w:themeColor="text1" w:themeTint="8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7F7F7F" w:themeColor="text1" w:themeTint="80"/>
                <w:kern w:val="0"/>
                <w:sz w:val="18"/>
                <w:szCs w:val="18"/>
                <w:lang w:eastAsia="de-DE"/>
                <w14:ligatures w14:val="none"/>
              </w:rPr>
              <w:t>Beispiel</w:t>
            </w:r>
          </w:p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„Wenn ich mitten im Satz unterbrochen werde, fühle ich mich nicht ernst genommen, weil ich denke, dass meine Meinung nicht zählt. Ich wünsche mir, dass ich kurz ausreden darf.“</w:t>
            </w:r>
          </w:p>
          <w:p w:rsidR="00B617FF" w:rsidRPr="00B617FF" w:rsidRDefault="00B617FF" w:rsidP="00DD021F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DD021F" w:rsidRPr="00DD021F" w:rsidTr="00DD021F">
        <w:trPr>
          <w:trHeight w:val="567"/>
        </w:trPr>
        <w:tc>
          <w:tcPr>
            <w:tcW w:w="9067" w:type="dxa"/>
            <w:gridSpan w:val="2"/>
            <w:vAlign w:val="center"/>
          </w:tcPr>
          <w:p w:rsidR="00DD021F" w:rsidRPr="00E10195" w:rsidRDefault="00DD021F" w:rsidP="00DD021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Teil 3 – Übung: Du-Botschaften in Ich-Botschaften umwandeln</w:t>
            </w:r>
          </w:p>
        </w:tc>
      </w:tr>
      <w:tr w:rsidR="00DD021F" w:rsidRPr="00DD021F" w:rsidTr="00DD021F">
        <w:trPr>
          <w:trHeight w:val="567"/>
        </w:trPr>
        <w:tc>
          <w:tcPr>
            <w:tcW w:w="4533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Du-Botschaft</w:t>
            </w:r>
          </w:p>
        </w:tc>
        <w:tc>
          <w:tcPr>
            <w:tcW w:w="4534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Meine Ich-Botschaft</w:t>
            </w:r>
          </w:p>
        </w:tc>
      </w:tr>
      <w:tr w:rsidR="00DD021F" w:rsidRPr="00DD021F" w:rsidTr="00DD021F">
        <w:trPr>
          <w:trHeight w:val="567"/>
        </w:trPr>
        <w:tc>
          <w:tcPr>
            <w:tcW w:w="4533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„Du bist immer zu spät!“</w:t>
            </w:r>
          </w:p>
        </w:tc>
        <w:tc>
          <w:tcPr>
            <w:tcW w:w="4534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D021F" w:rsidRPr="00DD021F" w:rsidTr="00DD021F">
        <w:trPr>
          <w:trHeight w:val="567"/>
        </w:trPr>
        <w:tc>
          <w:tcPr>
            <w:tcW w:w="4533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„Du verstehst mich einfach nicht!“</w:t>
            </w:r>
          </w:p>
        </w:tc>
        <w:tc>
          <w:tcPr>
            <w:tcW w:w="4534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D021F" w:rsidRPr="00DD021F" w:rsidTr="00DD021F">
        <w:trPr>
          <w:trHeight w:val="567"/>
        </w:trPr>
        <w:tc>
          <w:tcPr>
            <w:tcW w:w="4533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  <w:r w:rsidRPr="00DD021F">
              <w:rPr>
                <w:rFonts w:ascii="Arial" w:hAnsi="Arial" w:cs="Arial"/>
                <w:sz w:val="15"/>
                <w:szCs w:val="15"/>
              </w:rPr>
              <w:t>„Du machst alles falsch!“</w:t>
            </w:r>
          </w:p>
        </w:tc>
        <w:tc>
          <w:tcPr>
            <w:tcW w:w="4534" w:type="dxa"/>
          </w:tcPr>
          <w:p w:rsidR="00DD021F" w:rsidRPr="00DD021F" w:rsidRDefault="00DD021F" w:rsidP="00DD021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25512" w:rsidRDefault="00D25512" w:rsidP="00DD021F">
      <w:pPr>
        <w:pStyle w:val="Aufzhlungszeichen"/>
        <w:numPr>
          <w:ilvl w:val="0"/>
          <w:numId w:val="0"/>
        </w:numPr>
        <w:spacing w:after="202"/>
        <w:rPr>
          <w:rFonts w:ascii="Arial" w:hAnsi="Arial" w:cs="Arial"/>
          <w:sz w:val="16"/>
          <w:szCs w:val="16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25512" w:rsidRPr="00E10195" w:rsidRDefault="00D25512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Aktives Zuhören</w:t>
            </w:r>
          </w:p>
        </w:tc>
      </w:tr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D021F" w:rsidRDefault="00DD021F" w:rsidP="00DD021F">
            <w:pPr>
              <w:pStyle w:val="Aufzhlungszeichen"/>
              <w:numPr>
                <w:ilvl w:val="0"/>
                <w:numId w:val="0"/>
              </w:numPr>
              <w:ind w:left="72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D021F">
              <w:rPr>
                <w:rFonts w:ascii="Arial" w:hAnsi="Arial" w:cs="Arial"/>
                <w:sz w:val="15"/>
                <w:szCs w:val="15"/>
                <w:lang w:val="de-DE"/>
              </w:rPr>
              <w:t xml:space="preserve">Aktives Zuhören bedeutet, aufmerksam zu sein, Rückfragen zu stellen und das Gehörte zu spiegeln. </w:t>
            </w:r>
          </w:p>
          <w:p w:rsidR="00DD021F" w:rsidRDefault="00DD021F" w:rsidP="00DD021F">
            <w:pPr>
              <w:pStyle w:val="Aufzhlungszeichen"/>
              <w:numPr>
                <w:ilvl w:val="0"/>
                <w:numId w:val="0"/>
              </w:numPr>
              <w:ind w:left="72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D021F">
              <w:rPr>
                <w:rFonts w:ascii="Arial" w:hAnsi="Arial" w:cs="Arial"/>
                <w:sz w:val="15"/>
                <w:szCs w:val="15"/>
                <w:lang w:val="de-DE"/>
              </w:rPr>
              <w:t>So fühlt sich dein Gegenüber ernst genommen und Missverständnisse werden vermieden.</w:t>
            </w:r>
          </w:p>
          <w:p w:rsidR="00DD021F" w:rsidRDefault="00DD021F" w:rsidP="00DD021F">
            <w:pPr>
              <w:pStyle w:val="Aufzhlungszeichen"/>
              <w:numPr>
                <w:ilvl w:val="0"/>
                <w:numId w:val="0"/>
              </w:numPr>
              <w:ind w:left="72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  <w:p w:rsidR="00DD021F" w:rsidRPr="00DD021F" w:rsidRDefault="00DD021F" w:rsidP="00DD021F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/>
                <w:bCs/>
                <w:sz w:val="15"/>
                <w:szCs w:val="15"/>
                <w:lang w:val="de-DE"/>
              </w:rPr>
            </w:pPr>
            <w:r w:rsidRPr="00DD021F">
              <w:rPr>
                <w:rFonts w:ascii="Arial" w:hAnsi="Arial" w:cs="Arial"/>
                <w:b/>
                <w:bCs/>
                <w:sz w:val="15"/>
                <w:szCs w:val="15"/>
                <w:lang w:val="de-DE"/>
              </w:rPr>
              <w:t>Übung – Vervollständige die folgenden Sätze:</w:t>
            </w:r>
          </w:p>
          <w:p w:rsidR="00DD021F" w:rsidRDefault="00DD021F" w:rsidP="00DD021F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  <w:p w:rsidR="00D25512" w:rsidRPr="00D25512" w:rsidRDefault="00D25512" w:rsidP="00D25512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DD021F" w:rsidRPr="00DD021F">
              <w:rPr>
                <w:rFonts w:ascii="Arial" w:hAnsi="Arial" w:cs="Arial"/>
                <w:sz w:val="15"/>
                <w:szCs w:val="15"/>
                <w:lang w:val="de-DE"/>
              </w:rPr>
              <w:t>Ich habe verstanden, dass …</w:t>
            </w:r>
          </w:p>
          <w:p w:rsidR="00D25512" w:rsidRPr="00D25512" w:rsidRDefault="00D25512" w:rsidP="00D25512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DD021F" w:rsidRPr="00DD021F">
              <w:rPr>
                <w:rFonts w:ascii="Arial" w:hAnsi="Arial" w:cs="Arial"/>
                <w:sz w:val="15"/>
                <w:szCs w:val="15"/>
                <w:lang w:val="de-DE"/>
              </w:rPr>
              <w:t>Du meinst also, …</w:t>
            </w:r>
          </w:p>
          <w:p w:rsidR="00D25512" w:rsidRPr="00D25512" w:rsidRDefault="00D25512" w:rsidP="00D25512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DD021F" w:rsidRPr="00DD021F">
              <w:rPr>
                <w:rFonts w:ascii="Arial" w:hAnsi="Arial" w:cs="Arial"/>
                <w:sz w:val="15"/>
                <w:szCs w:val="15"/>
                <w:lang w:val="de-DE"/>
              </w:rPr>
              <w:t>Wenn ich dich richtig verstanden habe, …</w:t>
            </w:r>
          </w:p>
        </w:tc>
      </w:tr>
      <w:tr w:rsidR="00DD021F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D021F" w:rsidRPr="00E10195" w:rsidRDefault="00DD021F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DD021F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D021F" w:rsidRDefault="00DD021F" w:rsidP="0086637E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</w:p>
          <w:p w:rsidR="00DD021F" w:rsidRPr="00D25512" w:rsidRDefault="00DD021F" w:rsidP="0086637E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Pr="00DD021F">
              <w:rPr>
                <w:rFonts w:ascii="Arial" w:hAnsi="Arial" w:cs="Arial"/>
                <w:sz w:val="15"/>
                <w:szCs w:val="15"/>
                <w:lang w:val="de-DE"/>
              </w:rPr>
              <w:t>Wann hilft mir aktives Zuhören im Alltag?</w:t>
            </w:r>
          </w:p>
          <w:p w:rsidR="00DD021F" w:rsidRPr="00D25512" w:rsidRDefault="00DD021F" w:rsidP="0086637E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Pr="00DD021F">
              <w:rPr>
                <w:rFonts w:ascii="Arial" w:hAnsi="Arial" w:cs="Arial"/>
                <w:sz w:val="15"/>
                <w:szCs w:val="15"/>
                <w:lang w:val="de-DE"/>
              </w:rPr>
              <w:t>Wie verändert sich ein Gespräch, wenn ich Ich-Botschaften nutze?</w:t>
            </w:r>
          </w:p>
          <w:p w:rsidR="00DD021F" w:rsidRPr="00D25512" w:rsidRDefault="00DD021F" w:rsidP="0086637E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Pr="00DD021F">
              <w:rPr>
                <w:rFonts w:ascii="Arial" w:hAnsi="Arial" w:cs="Arial"/>
                <w:sz w:val="15"/>
                <w:szCs w:val="15"/>
                <w:lang w:val="de-DE"/>
              </w:rPr>
              <w:t>Was fällt mir persönlich schwerer: Zuhören oder meine Gefühle ausdrücken?</w:t>
            </w:r>
          </w:p>
        </w:tc>
      </w:tr>
    </w:tbl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DD021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AF0E58" w:rsidRPr="00B617FF" w:rsidRDefault="00DD021F" w:rsidP="00DD021F">
      <w:pPr>
        <w:pStyle w:val="Aufzhlungszeichen"/>
        <w:numPr>
          <w:ilvl w:val="0"/>
          <w:numId w:val="0"/>
        </w:numPr>
        <w:spacing w:before="120" w:after="202"/>
        <w:ind w:left="360" w:hanging="360"/>
        <w:jc w:val="center"/>
        <w:rPr>
          <w:rFonts w:ascii="Arial" w:hAnsi="Arial" w:cs="Arial"/>
          <w:color w:val="7F7F7F" w:themeColor="text1" w:themeTint="80"/>
          <w:sz w:val="8"/>
          <w:szCs w:val="8"/>
          <w:lang w:val="de-DE"/>
        </w:rPr>
      </w:pPr>
      <w:r w:rsidRPr="00DD021F">
        <w:rPr>
          <w:rFonts w:ascii="Arial" w:hAnsi="Arial" w:cs="Arial"/>
          <w:color w:val="7F7F7F" w:themeColor="text1" w:themeTint="80"/>
          <w:sz w:val="15"/>
          <w:szCs w:val="15"/>
          <w:lang w:val="de-DE"/>
        </w:rPr>
        <w:t>Wer zuhört, versteht mehr – und wird selbst besser verstanden</w:t>
      </w:r>
    </w:p>
    <w:sectPr w:rsidR="00AF0E58" w:rsidRPr="00B61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05F5" w:rsidRDefault="00C205F5" w:rsidP="00514520">
      <w:r>
        <w:separator/>
      </w:r>
    </w:p>
  </w:endnote>
  <w:endnote w:type="continuationSeparator" w:id="0">
    <w:p w:rsidR="00C205F5" w:rsidRDefault="00C205F5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F1C" w:rsidRDefault="00CE5F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F1C" w:rsidRDefault="00CE5F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F1C" w:rsidRDefault="00CE5F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05F5" w:rsidRDefault="00C205F5" w:rsidP="00514520">
      <w:r>
        <w:separator/>
      </w:r>
    </w:p>
  </w:footnote>
  <w:footnote w:type="continuationSeparator" w:id="0">
    <w:p w:rsidR="00C205F5" w:rsidRDefault="00C205F5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F1C" w:rsidRDefault="00CE5F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DD021F">
          <w:pPr>
            <w:pStyle w:val="Kopfzeile"/>
            <w:rPr>
              <w:sz w:val="16"/>
              <w:szCs w:val="16"/>
            </w:rPr>
          </w:pPr>
          <w:r w:rsidRPr="00DD021F">
            <w:rPr>
              <w:sz w:val="16"/>
              <w:szCs w:val="16"/>
            </w:rPr>
            <w:t xml:space="preserve">Arbeitsblatt </w:t>
          </w:r>
          <w:r w:rsidR="00CE5F1C">
            <w:rPr>
              <w:sz w:val="16"/>
              <w:szCs w:val="16"/>
            </w:rPr>
            <w:t>5</w:t>
          </w:r>
          <w:r w:rsidRPr="00DD021F">
            <w:rPr>
              <w:sz w:val="16"/>
              <w:szCs w:val="16"/>
            </w:rPr>
            <w:t>-2: Ich-Botschaften &amp; aktives Zuhören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5F1C" w:rsidRDefault="00CE5F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"/>
  </w:num>
  <w:num w:numId="2" w16cid:durableId="388967320">
    <w:abstractNumId w:val="3"/>
  </w:num>
  <w:num w:numId="3" w16cid:durableId="909075889">
    <w:abstractNumId w:val="1"/>
  </w:num>
  <w:num w:numId="4" w16cid:durableId="195363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A6906"/>
    <w:rsid w:val="000B4F6E"/>
    <w:rsid w:val="00173C83"/>
    <w:rsid w:val="002308A3"/>
    <w:rsid w:val="00446DD8"/>
    <w:rsid w:val="00514520"/>
    <w:rsid w:val="00517B3F"/>
    <w:rsid w:val="00580C45"/>
    <w:rsid w:val="005B4375"/>
    <w:rsid w:val="0067412A"/>
    <w:rsid w:val="00735BB6"/>
    <w:rsid w:val="007441FA"/>
    <w:rsid w:val="00747C1F"/>
    <w:rsid w:val="007519AC"/>
    <w:rsid w:val="00761FA4"/>
    <w:rsid w:val="007C1E41"/>
    <w:rsid w:val="0093195D"/>
    <w:rsid w:val="009C19F8"/>
    <w:rsid w:val="00A03B88"/>
    <w:rsid w:val="00A7130C"/>
    <w:rsid w:val="00AB063F"/>
    <w:rsid w:val="00AD7EEC"/>
    <w:rsid w:val="00AF0E58"/>
    <w:rsid w:val="00B37181"/>
    <w:rsid w:val="00B617FF"/>
    <w:rsid w:val="00BC4C42"/>
    <w:rsid w:val="00BF3F68"/>
    <w:rsid w:val="00C01397"/>
    <w:rsid w:val="00C205F5"/>
    <w:rsid w:val="00C73643"/>
    <w:rsid w:val="00C76AB3"/>
    <w:rsid w:val="00CA12C3"/>
    <w:rsid w:val="00CE5F1C"/>
    <w:rsid w:val="00CF41FE"/>
    <w:rsid w:val="00D25512"/>
    <w:rsid w:val="00DA457E"/>
    <w:rsid w:val="00DD021F"/>
    <w:rsid w:val="00DE7A36"/>
    <w:rsid w:val="00E10195"/>
    <w:rsid w:val="00E1279E"/>
    <w:rsid w:val="00F82686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FF789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2025-10-19T08:28:00Z</cp:lastPrinted>
  <dcterms:created xsi:type="dcterms:W3CDTF">2025-10-19T08:18:00Z</dcterms:created>
  <dcterms:modified xsi:type="dcterms:W3CDTF">2025-10-19T12:30:00Z</dcterms:modified>
</cp:coreProperties>
</file>